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line="540" w:lineRule="exact"/>
        <w:jc w:val="center"/>
        <w:textAlignment w:val="auto"/>
        <w:rPr>
          <w:rFonts w:hint="eastAsia" w:ascii="方正小标宋简体" w:hAnsi="方正小标宋简体" w:eastAsia="方正小标宋简体" w:cs="方正小标宋简体"/>
          <w:sz w:val="44"/>
          <w:szCs w:val="44"/>
          <w:lang w:val="en-US" w:eastAsia="zh-CN"/>
          <w14:ligatures w14:val="none"/>
        </w:rPr>
      </w:pPr>
      <w:r>
        <w:rPr>
          <w:rFonts w:hint="eastAsia" w:ascii="方正小标宋简体" w:hAnsi="方正小标宋简体" w:eastAsia="方正小标宋简体" w:cs="方正小标宋简体"/>
          <w:sz w:val="44"/>
          <w:szCs w:val="44"/>
          <w:lang w:val="en-US" w:eastAsia="zh-CN"/>
          <w14:ligatures w14:val="none"/>
        </w:rPr>
        <w:t>鲁山县露峰街道办事处关于2025年法治政府建设情况的报告</w:t>
      </w:r>
    </w:p>
    <w:p>
      <w:pPr>
        <w:ind w:firstLine="640" w:firstLineChars="2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2025年以</w:t>
      </w:r>
      <w:r>
        <w:rPr>
          <w:rFonts w:hint="eastAsia" w:ascii="仿宋_GB2312" w:hAnsi="仿宋_GB2312" w:eastAsia="仿宋_GB2312" w:cs="仿宋_GB2312"/>
          <w:sz w:val="32"/>
          <w:szCs w:val="32"/>
          <w:lang w:val="zh-CN" w:eastAsia="zh-CN"/>
          <w14:ligatures w14:val="none"/>
        </w:rPr>
        <w:t>来</w:t>
      </w:r>
      <w:r>
        <w:rPr>
          <w:rFonts w:hint="eastAsia" w:ascii="仿宋_GB2312" w:hAnsi="仿宋_GB2312" w:eastAsia="仿宋_GB2312" w:cs="仿宋_GB2312"/>
          <w:sz w:val="32"/>
          <w:szCs w:val="32"/>
          <w:lang w:val="en-US" w:eastAsia="zh-CN"/>
          <w14:ligatures w14:val="none"/>
        </w:rPr>
        <w:t>，露峰街道深入贯彻落实中央、省、市、县关于法治政府建设的决策部署，紧紧围绕街道中心工作，以提升依法行政水平、保障群众合法权益、维护辖区和谐稳定为核心，扎实推进法治政府建设各项工作，取得阶段性成效。</w:t>
      </w:r>
      <w:r>
        <w:rPr>
          <w:rFonts w:hint="eastAsia" w:ascii="仿宋_GB2312" w:hAnsi="仿宋_GB2312" w:eastAsia="仿宋_GB2312" w:cs="仿宋_GB2312"/>
          <w:sz w:val="32"/>
          <w:szCs w:val="32"/>
          <w:lang w:val="zh-CN" w:eastAsia="zh-CN"/>
          <w14:ligatures w14:val="none"/>
        </w:rPr>
        <w:t>现将工作情况汇报如下：</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黑体" w:hAnsi="黑体" w:eastAsia="黑体" w:cs="黑体"/>
          <w:sz w:val="32"/>
          <w:szCs w:val="32"/>
          <w:lang w:val="en-US" w:eastAsia="zh-CN"/>
          <w14:ligatures w14:val="none"/>
        </w:rPr>
      </w:pPr>
      <w:r>
        <w:rPr>
          <w:rFonts w:hint="eastAsia" w:ascii="黑体" w:hAnsi="黑体" w:eastAsia="黑体" w:cs="黑体"/>
          <w:sz w:val="32"/>
          <w:szCs w:val="32"/>
          <w:lang w:val="en-US" w:eastAsia="zh-CN"/>
          <w14:ligatures w14:val="none"/>
        </w:rPr>
        <w:t>一、2025年度党政主要负责人履行推进法治建设第一责任人职责的情况</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2025年，露峰街道党政主要负责人严格落实法治建设第一责任人职责，切实扛起法治建设政治责任，做到“重要工作亲自部署、重大问题亲自过问、重点环节亲自协调、重要任务亲自督办”，推动法治建设与业务工作同部署、同推进、同督促、同考核、同奖惩，确保法治政府建设各项任务落地见效。</w:t>
      </w:r>
    </w:p>
    <w:p>
      <w:pPr>
        <w:keepNext w:val="0"/>
        <w:keepLines w:val="0"/>
        <w:pageBreakBefore w:val="0"/>
        <w:numPr>
          <w:ilvl w:val="0"/>
          <w:numId w:val="1"/>
        </w:numPr>
        <w:kinsoku/>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强化统筹引领，健全工作格局。</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成立了以党工委书记为组长、班子成员和职能单位负责人为成员的法治政府建设工作领导小组，定期召开法治建设专题会议4次，研究部署年度法治建设工作要点、重大行政决策合法性审查、行政执法规范</w:t>
      </w:r>
      <w:bookmarkStart w:id="0" w:name="_GoBack"/>
      <w:bookmarkEnd w:id="0"/>
      <w:r>
        <w:rPr>
          <w:rFonts w:hint="eastAsia" w:ascii="仿宋_GB2312" w:hAnsi="仿宋_GB2312" w:eastAsia="仿宋_GB2312" w:cs="仿宋_GB2312"/>
          <w:sz w:val="32"/>
          <w:szCs w:val="32"/>
          <w:lang w:val="en-US" w:eastAsia="zh-CN"/>
          <w14:ligatures w14:val="none"/>
        </w:rPr>
        <w:t>化等重点工作，协调解决法治建设中的难点重点问题。将法治政府建设纳入单位年度工作计划和绩效考核体系，明确各部门法治建设职责清单，形成“主要领导抓总、分管领导抓具体、各部门协同发力”的工作格局，确保法治建设有人抓、有人管、有成效。</w:t>
      </w:r>
    </w:p>
    <w:p>
      <w:pPr>
        <w:keepNext w:val="0"/>
        <w:keepLines w:val="0"/>
        <w:pageBreakBefore w:val="0"/>
        <w:numPr>
          <w:ilvl w:val="0"/>
          <w:numId w:val="1"/>
        </w:numPr>
        <w:kinsoku/>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带头尊法学法，提升法治素养。</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自觉将深入学习贯彻习近平法治思想作为重要政治任务，将其纳入街道党工委理论学习中心组学习计划，推动领导干部带头学习宣传，发挥“头雁效应”。采取日常学习与专题学习相结合的方式，督促班子成员履行“一岗双责”，定期组织开展分管领域法治学习，深入学习了《论坚持全面依法治国》《习近平法治思想学习纲要》等重要著作，以及《民法典》等与基层治理密切相关的法律法规，引导全体干部职工增强法治意识，提升依法履职能力。截至目前，共组织相关学习12次，在全街道营造了尊法学法守法用法的浓厚氛围，不断提升自身及全体干部运用法治思维和法治方式深化改革、推动发展、化解矛盾、维护稳定、应对风险的能力。</w:t>
      </w:r>
    </w:p>
    <w:p>
      <w:pPr>
        <w:keepNext w:val="0"/>
        <w:keepLines w:val="0"/>
        <w:pageBreakBefore w:val="0"/>
        <w:numPr>
          <w:ilvl w:val="0"/>
          <w:numId w:val="1"/>
        </w:numPr>
        <w:kinsoku/>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严把决策关口，规范决策行为</w:t>
      </w:r>
      <w:r>
        <w:rPr>
          <w:rFonts w:hint="eastAsia" w:ascii="楷体" w:hAnsi="楷体" w:eastAsia="楷体" w:cs="楷体"/>
          <w:sz w:val="32"/>
          <w:szCs w:val="32"/>
        </w:rPr>
        <w:t xml:space="preserve"> </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严格执行重大行政决策法定程序，健全重大行政决策公众参与、专家论证、风险评估、合法性审查、集体讨论决定“五大程序”，确保所有重大决策均符合法律法规规定。落实党委法律顾问制度，聘请了河南尊华律师事务所律师为法律顾问，积极参与法治建设各项工作事务，在重大决策、合同审查、行政争议化解等方面提供专业法律意见，有效防范决策法律风险。</w:t>
      </w:r>
    </w:p>
    <w:p>
      <w:pPr>
        <w:keepNext w:val="0"/>
        <w:keepLines w:val="0"/>
        <w:pageBreakBefore w:val="0"/>
        <w:kinsoku/>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rPr>
        <w:t>（</w:t>
      </w:r>
      <w:r>
        <w:rPr>
          <w:rFonts w:hint="eastAsia" w:ascii="楷体" w:hAnsi="楷体" w:eastAsia="楷体" w:cs="楷体"/>
          <w:sz w:val="32"/>
          <w:szCs w:val="32"/>
          <w:lang w:val="en-US" w:eastAsia="zh-CN"/>
        </w:rPr>
        <w:t>四</w:t>
      </w:r>
      <w:r>
        <w:rPr>
          <w:rFonts w:hint="eastAsia" w:ascii="楷体" w:hAnsi="楷体" w:eastAsia="楷体" w:cs="楷体"/>
          <w:sz w:val="32"/>
          <w:szCs w:val="32"/>
        </w:rPr>
        <w:t>）</w:t>
      </w:r>
      <w:r>
        <w:rPr>
          <w:rFonts w:hint="eastAsia" w:ascii="楷体" w:hAnsi="楷体" w:eastAsia="楷体" w:cs="楷体"/>
          <w:sz w:val="32"/>
          <w:szCs w:val="32"/>
          <w:lang w:val="en-US" w:eastAsia="zh-CN"/>
        </w:rPr>
        <w:t>狠抓工作落实，强化督促检查</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定期对各部门（社区）法治建设工作开展督促检查，重点检查依法行政、行政执法、普法宣传等任务落实情况，对发现的问题及时通报、限期整改。督促领导班子其他成员依法办事不得违规干预司法活动、插手具体案件处理。建立责权明确、行为规范、运转协调、监督有效、保障有力的行政执法体制；加强对应急办、自然资源所等方面的行政执法行为的规范化管理；依法处置好各类信访及矛盾纠纷案件，维护社会稳定。</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黑体" w:hAnsi="黑体" w:eastAsia="黑体" w:cs="黑体"/>
          <w:sz w:val="32"/>
          <w:szCs w:val="32"/>
          <w:lang w:val="en-US" w:eastAsia="zh-CN"/>
          <w14:ligatures w14:val="none"/>
        </w:rPr>
      </w:pPr>
      <w:r>
        <w:rPr>
          <w:rFonts w:hint="eastAsia" w:ascii="黑体" w:hAnsi="黑体" w:eastAsia="黑体" w:cs="黑体"/>
          <w:sz w:val="32"/>
          <w:szCs w:val="32"/>
          <w:lang w:val="en-US" w:eastAsia="zh-CN"/>
          <w14:ligatures w14:val="none"/>
        </w:rPr>
        <w:t>二、2025年度推进法治政府建设的主要举措和成效</w:t>
      </w:r>
    </w:p>
    <w:p>
      <w:pPr>
        <w:keepNext w:val="0"/>
        <w:keepLines w:val="0"/>
        <w:pageBreakBefore w:val="0"/>
        <w:numPr>
          <w:ilvl w:val="0"/>
          <w:numId w:val="2"/>
        </w:numPr>
        <w:kinsoku/>
        <w:overflowPunct/>
        <w:topLinePunct w:val="0"/>
        <w:autoSpaceDE/>
        <w:autoSpaceDN/>
        <w:bidi w:val="0"/>
        <w:adjustRightInd/>
        <w:snapToGrid/>
        <w:spacing w:line="580" w:lineRule="exact"/>
        <w:ind w:firstLine="640" w:firstLineChars="200"/>
        <w:textAlignment w:val="auto"/>
        <w:rPr>
          <w:rFonts w:hint="eastAsia" w:ascii="楷体" w:hAnsi="楷体" w:eastAsia="楷体" w:cs="楷体"/>
          <w:color w:val="3D3D3D"/>
          <w:sz w:val="32"/>
          <w:szCs w:val="32"/>
          <w:shd w:val="clear" w:color="auto" w:fill="FFFFFF"/>
        </w:rPr>
      </w:pPr>
      <w:r>
        <w:rPr>
          <w:rFonts w:hint="eastAsia" w:ascii="楷体" w:hAnsi="楷体" w:eastAsia="楷体" w:cs="楷体"/>
          <w:color w:val="3D3D3D"/>
          <w:sz w:val="32"/>
          <w:szCs w:val="32"/>
          <w:shd w:val="clear" w:color="auto" w:fill="FFFFFF"/>
        </w:rPr>
        <w:t>深化理论武装，筑牢法治建设思想根基</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一是按照法治政府建设工作要求，将政治理论学习放在法治政府建设的突出位置。建立街道党员干部日常学法制度。坚持把习近平法治思想作为街道党员干部学习的“必修课”，组织全体干部职工开展《宪法》、《民法典》、《行政处罚法》等法律法规专题培训6次，覆盖干部职工100余人。二是创新普法宣传模式，结合“八五”普法规划，依托春节、妇女节、消费者权益保护日、国际禁毒日和国家宪法日等重要节点，全年开展集中普法宣传活动三十余场，发放宣传资料8000余份，覆盖群众1万余人次；通过开展“六进”普法宣传活动，集中宣传与群众生活息息相关的《宪法》、《民法典》等法律法规，增强人民群众的法治意识，营造“尊法学法守法用法”的浓厚社会氛围。三是创新多元学习途径，通过中心组集中学、政府会议专题学、工作例会经常学、党员集中学习日强化学、邀请法律顾问讲课等形式，带领街道全体党员干部认真钻研法律法规，推动法治学习真正入脑入心、走深走实。让学法成为街道党员干部一种自觉习惯、一种行动自觉，在潜移默化中增强学法用法意识，全面提升基层干部的法律素养和依法履职水平。</w:t>
      </w:r>
    </w:p>
    <w:p>
      <w:pPr>
        <w:keepNext w:val="0"/>
        <w:keepLines w:val="0"/>
        <w:pageBreakBefore w:val="0"/>
        <w:numPr>
          <w:ilvl w:val="0"/>
          <w:numId w:val="2"/>
        </w:numPr>
        <w:kinsoku/>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3D3D3D"/>
          <w:sz w:val="32"/>
          <w:szCs w:val="32"/>
          <w:shd w:val="clear" w:color="auto" w:fill="FFFFFF"/>
        </w:rPr>
      </w:pPr>
      <w:r>
        <w:rPr>
          <w:rFonts w:hint="eastAsia" w:ascii="楷体" w:hAnsi="楷体" w:eastAsia="楷体" w:cs="楷体"/>
          <w:color w:val="3D3D3D"/>
          <w:sz w:val="32"/>
          <w:szCs w:val="32"/>
          <w:shd w:val="clear" w:color="auto" w:fill="FFFFFF"/>
        </w:rPr>
        <w:t>规范行政行为，提升依法行政规范化水平。</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一是严格规范行政决策，编制年度重大行政决策事项目录并向社会公示，对涉及群众切身利益、社会关注度高的重大事项，广泛征求群众意见和专家建议，开展风险评估，确保决策科学民主合法。2025年，露峰街道所有重大行政决策均严格履行法定程序，未发生违法决策、违规决策情况。二是严格执法监管。组建街道综合行政执法队伍，聚焦市容环境、安全生产、垃圾分类等重点领域，开展专项执法行动，有效维护了辖区公共秩序和群众合法权益。三是加强行政规范性文件管理，严格按照法定权限和程序制定、备案、清理行政规范性文件，确保规范性文件合法有效、协调统一。</w:t>
      </w:r>
    </w:p>
    <w:p>
      <w:pPr>
        <w:keepNext w:val="0"/>
        <w:keepLines w:val="0"/>
        <w:pageBreakBefore w:val="0"/>
        <w:numPr>
          <w:ilvl w:val="0"/>
          <w:numId w:val="2"/>
        </w:numPr>
        <w:kinsoku/>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3D3D3D"/>
          <w:sz w:val="32"/>
          <w:szCs w:val="32"/>
          <w:shd w:val="clear" w:color="auto" w:fill="FFFFFF"/>
        </w:rPr>
      </w:pPr>
      <w:r>
        <w:rPr>
          <w:rFonts w:hint="eastAsia" w:ascii="楷体" w:hAnsi="楷体" w:eastAsia="楷体" w:cs="楷体"/>
          <w:color w:val="3D3D3D"/>
          <w:sz w:val="32"/>
          <w:szCs w:val="32"/>
          <w:shd w:val="clear" w:color="auto" w:fill="FFFFFF"/>
        </w:rPr>
        <w:t>化解矛盾纠纷，维护社会和谐稳定</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坚持和发展新时代“枫桥经验”，健全多元矛盾纠纷化解机制，筑牢社会和谐稳定法治防线。一是完善调解网络，由街道和社区法律顾问和民调员、“一村一警”共同参与，依托网格、社区、街道三级矛盾调解机制，精准化解复杂矛盾纠纷，全年成功调解各类矛盾纠纷87起，调解成功率100%。针对婚姻家庭、邻里关系等常见矛盾纠纷，开展调解技巧培训 4 次，提升调解员化解矛盾纠纷的能力水平。二是推进信访法治化，依法分类处理信访诉求，引导群众依法逐级上访，规范信访事项受理、办理、答复程序，努力将矛盾化解在基层、化解在萌芽状态，全年办结信访案件78起，办结率100%，信访稳定率控制在95%以上，群众满意率达92%以上。</w:t>
      </w:r>
    </w:p>
    <w:p>
      <w:pPr>
        <w:keepNext w:val="0"/>
        <w:keepLines w:val="0"/>
        <w:pageBreakBefore w:val="0"/>
        <w:numPr>
          <w:ilvl w:val="0"/>
          <w:numId w:val="2"/>
        </w:numPr>
        <w:kinsoku/>
        <w:overflowPunct/>
        <w:topLinePunct w:val="0"/>
        <w:autoSpaceDE/>
        <w:autoSpaceDN/>
        <w:bidi w:val="0"/>
        <w:adjustRightInd/>
        <w:snapToGrid/>
        <w:spacing w:line="580" w:lineRule="exact"/>
        <w:ind w:firstLine="640" w:firstLineChars="200"/>
        <w:textAlignment w:val="auto"/>
        <w:rPr>
          <w:rFonts w:hint="eastAsia" w:ascii="楷体" w:hAnsi="楷体" w:eastAsia="楷体" w:cs="楷体"/>
          <w:color w:val="3D3D3D"/>
          <w:sz w:val="32"/>
          <w:szCs w:val="32"/>
          <w:shd w:val="clear" w:color="auto" w:fill="FFFFFF"/>
        </w:rPr>
      </w:pPr>
      <w:r>
        <w:rPr>
          <w:rFonts w:hint="eastAsia" w:ascii="楷体" w:hAnsi="楷体" w:eastAsia="楷体" w:cs="楷体"/>
          <w:color w:val="3D3D3D"/>
          <w:sz w:val="32"/>
          <w:szCs w:val="32"/>
          <w:shd w:val="clear" w:color="auto" w:fill="FFFFFF"/>
        </w:rPr>
        <w:t>强化基层治理，筑牢法治建设根基</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一是加强网格法治管理。今年建立警网融合网格化管理体制，我街道共成立了53个社区网格、3个专属网格。配备了168名各级网格员和25名民辅警开展工作，实现了辖区稳定。网格员定期走访网格内群众，收集社情民意，排查矛盾纠纷，提供法治咨询服务，有效打通了法治服务 “最后一公里”。二是织密治安防控网。开展社会治安综合治理专项行动，组织7个社区巡逻员常态化开展夜间巡逻与重点区域排查，显著降低治安类案件发案率。</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黑体" w:hAnsi="黑体" w:eastAsia="黑体" w:cs="黑体"/>
          <w:sz w:val="32"/>
          <w:szCs w:val="32"/>
          <w:lang w:val="en-US" w:eastAsia="zh-CN"/>
          <w14:ligatures w14:val="none"/>
        </w:rPr>
      </w:pPr>
      <w:r>
        <w:rPr>
          <w:rFonts w:hint="eastAsia" w:ascii="黑体" w:hAnsi="黑体" w:eastAsia="黑体" w:cs="黑体"/>
          <w:sz w:val="32"/>
          <w:szCs w:val="32"/>
          <w:lang w:val="en-US" w:eastAsia="zh-CN"/>
          <w14:ligatures w14:val="none"/>
        </w:rPr>
        <w:t>三、2025年度推进法治政府建设存在的不足、原因和问题整改情况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color w:val="auto"/>
          <w:kern w:val="2"/>
          <w:sz w:val="32"/>
          <w:szCs w:val="32"/>
          <w:lang w:val="en-US" w:eastAsia="zh-CN" w:bidi="ar-SA"/>
        </w:rPr>
        <w:t>2025</w:t>
      </w:r>
      <w:r>
        <w:rPr>
          <w:rFonts w:hint="eastAsia" w:ascii="仿宋_GB2312" w:hAnsi="仿宋_GB2312" w:eastAsia="仿宋_GB2312" w:cs="仿宋_GB2312"/>
          <w:sz w:val="32"/>
          <w:szCs w:val="32"/>
          <w:lang w:val="en-US" w:eastAsia="zh-CN"/>
          <w14:ligatures w14:val="none"/>
        </w:rPr>
        <w:t>年我们的法治政府建设取得了一定成绩，但客观上也存在一些不足。问题及原因主要表现为：</w:t>
      </w:r>
      <w:r>
        <w:rPr>
          <w:rFonts w:hint="eastAsia" w:ascii="仿宋_GB2312" w:hAnsi="仿宋_GB2312" w:eastAsia="仿宋_GB2312" w:cs="仿宋_GB2312"/>
          <w:b/>
          <w:bCs/>
          <w:sz w:val="32"/>
          <w:szCs w:val="32"/>
          <w:lang w:val="en-US" w:eastAsia="zh-CN"/>
          <w14:ligatures w14:val="none"/>
        </w:rPr>
        <w:t>一是</w:t>
      </w:r>
      <w:r>
        <w:rPr>
          <w:rFonts w:hint="eastAsia" w:ascii="仿宋_GB2312" w:hAnsi="仿宋_GB2312" w:eastAsia="仿宋_GB2312" w:cs="仿宋_GB2312"/>
          <w:sz w:val="32"/>
          <w:szCs w:val="32"/>
          <w:lang w:val="en-US" w:eastAsia="zh-CN"/>
          <w14:ligatures w14:val="none"/>
        </w:rPr>
        <w:t>法治思维和能力仍有差距。</w:t>
      </w:r>
      <w:r>
        <w:rPr>
          <w:rFonts w:hint="eastAsia" w:ascii="仿宋_GB2312" w:hAnsi="仿宋_GB2312" w:eastAsia="仿宋_GB2312" w:cs="仿宋_GB2312"/>
          <w:sz w:val="32"/>
          <w:szCs w:val="32"/>
          <w:lang w:val="en-US" w:eastAsia="zh-CN"/>
          <w14:ligatures w14:val="none"/>
        </w:rPr>
        <w:t>部分干部职工对法治政府建设的重要性认识不够深刻，存在“重业务、轻法治”的倾向，运用法治思维和法治方式深化改革、推动发展、化解矛盾、维护稳定的能力有待进一步提升。</w:t>
      </w:r>
      <w:r>
        <w:rPr>
          <w:rFonts w:hint="eastAsia" w:ascii="仿宋_GB2312" w:hAnsi="仿宋_GB2312" w:eastAsia="仿宋_GB2312" w:cs="仿宋_GB2312"/>
          <w:b/>
          <w:bCs/>
          <w:sz w:val="32"/>
          <w:szCs w:val="32"/>
          <w:lang w:val="en-US" w:eastAsia="zh-CN"/>
          <w14:ligatures w14:val="none"/>
        </w:rPr>
        <w:t>二是</w:t>
      </w:r>
      <w:r>
        <w:rPr>
          <w:rFonts w:hint="eastAsia" w:ascii="仿宋_GB2312" w:hAnsi="仿宋_GB2312" w:eastAsia="仿宋_GB2312" w:cs="仿宋_GB2312"/>
          <w:sz w:val="32"/>
          <w:szCs w:val="32"/>
          <w:lang w:val="en-US" w:eastAsia="zh-CN"/>
          <w14:ligatures w14:val="none"/>
        </w:rPr>
        <w:t>法治宣传教育的针对性和实效性有待提升。法治宣传教育形式较为单一，多以发放宣传资料、开展讲座为主，对不同群体的法治需求关注不够，精准普法力度不足；另外宣传的方法与当前人民群众的生活、工作习惯和接受方式结合不紧。</w:t>
      </w:r>
      <w:r>
        <w:rPr>
          <w:rFonts w:hint="eastAsia" w:ascii="仿宋_GB2312" w:hAnsi="仿宋_GB2312" w:eastAsia="仿宋_GB2312" w:cs="仿宋_GB2312"/>
          <w:b/>
          <w:bCs/>
          <w:sz w:val="32"/>
          <w:szCs w:val="32"/>
          <w:lang w:val="en-US" w:eastAsia="zh-CN"/>
          <w14:ligatures w14:val="none"/>
        </w:rPr>
        <w:t>三是</w:t>
      </w:r>
      <w:r>
        <w:rPr>
          <w:rFonts w:hint="eastAsia" w:ascii="仿宋_GB2312" w:hAnsi="仿宋_GB2312" w:eastAsia="仿宋_GB2312" w:cs="仿宋_GB2312"/>
          <w:sz w:val="32"/>
          <w:szCs w:val="32"/>
          <w:lang w:val="en-US" w:eastAsia="zh-CN"/>
          <w14:ligatures w14:val="none"/>
        </w:rPr>
        <w:t>法治建设保障机制不够完善。法治工作专职人员不足，街道普法工作主要由街道司法所和综治办工作人员兼顾，社区尽管建立了法律明白人队伍，但是人员的法律掌握能力、宣传能力、运用能力不一，缺乏系统的法治专业培训，业务能力难以适应新形势下法治政府建设的要求。</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14:ligatures w14:val="none"/>
        </w:rPr>
      </w:pPr>
      <w:r>
        <w:rPr>
          <w:rFonts w:hint="eastAsia" w:ascii="仿宋_GB2312" w:hAnsi="仿宋_GB2312" w:eastAsia="仿宋_GB2312" w:cs="仿宋_GB2312"/>
          <w:sz w:val="32"/>
          <w:szCs w:val="32"/>
          <w:lang w:val="en-US" w:eastAsia="zh-CN"/>
          <w14:ligatures w14:val="none"/>
        </w:rPr>
        <w:t>整改情况：</w:t>
      </w:r>
      <w:r>
        <w:rPr>
          <w:rFonts w:hint="eastAsia" w:ascii="仿宋_GB2312" w:hAnsi="仿宋_GB2312" w:eastAsia="仿宋_GB2312" w:cs="仿宋_GB2312"/>
          <w:sz w:val="32"/>
          <w:szCs w:val="32"/>
          <w:lang w:val="en-US" w:eastAsia="zh-CN"/>
          <w14:ligatures w14:val="none"/>
        </w:rPr>
        <w:t>进一步强化全体干部职工法治教育，加强干部职工对新形势下相关法律法规的理解和运用。</w:t>
      </w:r>
      <w:r>
        <w:rPr>
          <w:rFonts w:hint="eastAsia" w:ascii="仿宋_GB2312" w:hAnsi="仿宋_GB2312" w:eastAsia="仿宋_GB2312" w:cs="仿宋_GB2312"/>
          <w:kern w:val="2"/>
          <w:sz w:val="32"/>
          <w:szCs w:val="32"/>
          <w:lang w:val="en-US" w:eastAsia="zh-CN" w:bidi="ar-SA"/>
          <w14:ligatures w14:val="none"/>
        </w:rPr>
        <w:t>进一步发挥法律明白人队伍作用，推动相关人员法律掌握能力、宣传能力、运用能力进一步提升。</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黑体" w:hAnsi="黑体" w:eastAsia="黑体" w:cs="黑体"/>
          <w:sz w:val="32"/>
          <w:szCs w:val="32"/>
          <w:lang w:val="en-US" w:eastAsia="zh-CN"/>
          <w14:ligatures w14:val="none"/>
        </w:rPr>
      </w:pPr>
      <w:r>
        <w:rPr>
          <w:rFonts w:hint="eastAsia" w:ascii="黑体" w:hAnsi="黑体" w:eastAsia="黑体" w:cs="黑体"/>
          <w:sz w:val="32"/>
          <w:szCs w:val="32"/>
          <w:lang w:val="en-US" w:eastAsia="zh-CN"/>
          <w14:ligatures w14:val="none"/>
        </w:rPr>
        <w:t>四、下一年度推进法治政府建设的主要工作安排</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在下一步的工作中，针对以上存在的问题，从以下几个方面着手：</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楷体_GB2312" w:hAnsi="楷体_GB2312" w:eastAsia="楷体_GB2312" w:cs="楷体_GB2312"/>
          <w:b w:val="0"/>
          <w:bCs w:val="0"/>
          <w:sz w:val="32"/>
          <w:szCs w:val="32"/>
          <w:lang w:val="en-US" w:eastAsia="zh-CN"/>
          <w14:ligatures w14:val="none"/>
        </w:rPr>
      </w:pPr>
      <w:r>
        <w:rPr>
          <w:rFonts w:hint="eastAsia" w:ascii="楷体_GB2312" w:hAnsi="楷体_GB2312" w:eastAsia="楷体_GB2312" w:cs="楷体_GB2312"/>
          <w:b w:val="0"/>
          <w:bCs w:val="0"/>
          <w:sz w:val="32"/>
          <w:szCs w:val="32"/>
          <w:lang w:val="en-US" w:eastAsia="zh-CN"/>
          <w14:ligatures w14:val="none"/>
        </w:rPr>
        <w:t>（一）强化思想引领，提升法治意识</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深入学习贯彻习近平法治思想，将其纳入街道党政班子学习、干部职工培训的重要内容，全年开展专题学习不少于6次，引导全体干部职工增强法治意识和法治思维；健全干部学法用法长效机制，强化法治考核，倒逼干部提升法治思维和依法履职能力。</w:t>
      </w:r>
    </w:p>
    <w:p>
      <w:pPr>
        <w:pStyle w:val="14"/>
        <w:keepNext w:val="0"/>
        <w:keepLines w:val="0"/>
        <w:pageBreakBefore w:val="0"/>
        <w:widowControl/>
        <w:numPr>
          <w:ilvl w:val="0"/>
          <w:numId w:val="0"/>
        </w:numPr>
        <w:shd w:val="clear" w:color="auto" w:fill="FFFFFF"/>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14:ligatures w14:val="none"/>
        </w:rPr>
      </w:pPr>
      <w:r>
        <w:rPr>
          <w:rFonts w:hint="eastAsia" w:ascii="楷体_GB2312" w:hAnsi="楷体_GB2312" w:eastAsia="楷体_GB2312" w:cs="楷体_GB2312"/>
          <w:b w:val="0"/>
          <w:bCs w:val="0"/>
          <w:kern w:val="2"/>
          <w:sz w:val="32"/>
          <w:szCs w:val="32"/>
          <w:lang w:val="en-US" w:eastAsia="zh-CN" w:bidi="ar-SA"/>
          <w14:ligatures w14:val="none"/>
        </w:rPr>
        <w:t>（二）作深化法治宣传，营造良好法治氛围</w:t>
      </w:r>
    </w:p>
    <w:p>
      <w:pPr>
        <w:pStyle w:val="14"/>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kern w:val="2"/>
          <w:sz w:val="32"/>
          <w:szCs w:val="32"/>
          <w:lang w:val="en-US" w:eastAsia="zh-CN" w:bidi="ar-SA"/>
          <w14:ligatures w14:val="none"/>
        </w:rPr>
      </w:pPr>
      <w:r>
        <w:rPr>
          <w:rFonts w:hint="eastAsia" w:ascii="仿宋_GB2312" w:hAnsi="仿宋_GB2312" w:eastAsia="仿宋_GB2312" w:cs="仿宋_GB2312"/>
          <w:kern w:val="2"/>
          <w:sz w:val="32"/>
          <w:szCs w:val="32"/>
          <w:lang w:val="en-US" w:eastAsia="zh-CN" w:bidi="ar-SA"/>
          <w14:ligatures w14:val="none"/>
        </w:rPr>
        <w:t>一是创新法治宣传教育形式，丰富宣传内容，针对不同群体的法治需求，开展定制化、精准化的法治宣传教育活动。二是借力宣传。积极与县司法局、县公安局、县团委等单位合作，到我街道开展法治送戏下乡、“法润百企”、“送法进校园”“预防未成年人犯罪”等活动，以群众喜闻乐见的形式进行法治宣传。三是积极拓展微信、抖音、等新媒体、新形式宣传法治政府建设宣传，加大法治宣传力度，提升法治宣传的覆盖面和影响力。</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Chars="200" w:right="0" w:rightChars="0"/>
        <w:textAlignment w:val="auto"/>
        <w:rPr>
          <w:rFonts w:hint="eastAsia" w:ascii="楷体_GB2312" w:hAnsi="楷体_GB2312" w:eastAsia="楷体_GB2312" w:cs="楷体_GB2312"/>
          <w:b w:val="0"/>
          <w:bCs w:val="0"/>
          <w:kern w:val="2"/>
          <w:sz w:val="32"/>
          <w:szCs w:val="32"/>
          <w:lang w:val="en-US" w:eastAsia="zh-CN" w:bidi="ar-SA"/>
          <w14:ligatures w14:val="none"/>
        </w:rPr>
      </w:pPr>
      <w:r>
        <w:rPr>
          <w:rFonts w:hint="eastAsia" w:ascii="楷体_GB2312" w:hAnsi="楷体_GB2312" w:eastAsia="楷体_GB2312" w:cs="楷体_GB2312"/>
          <w:b w:val="0"/>
          <w:bCs w:val="0"/>
          <w:kern w:val="2"/>
          <w:sz w:val="32"/>
          <w:szCs w:val="32"/>
          <w:lang w:val="en-US" w:eastAsia="zh-CN" w:bidi="ar-SA"/>
          <w14:ligatures w14:val="none"/>
        </w:rPr>
        <w:t>（三）加强法治工作队伍建设不放松。</w:t>
      </w:r>
    </w:p>
    <w:p>
      <w:pPr>
        <w:pStyle w:val="14"/>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kern w:val="2"/>
          <w:sz w:val="32"/>
          <w:szCs w:val="32"/>
          <w:lang w:val="en-US" w:eastAsia="zh-CN" w:bidi="ar-SA"/>
          <w14:ligatures w14:val="none"/>
        </w:rPr>
      </w:pPr>
      <w:r>
        <w:rPr>
          <w:rFonts w:hint="eastAsia" w:ascii="仿宋_GB2312" w:hAnsi="仿宋_GB2312" w:eastAsia="仿宋_GB2312" w:cs="仿宋_GB2312"/>
          <w:kern w:val="2"/>
          <w:sz w:val="32"/>
          <w:szCs w:val="32"/>
          <w:lang w:val="en-US" w:eastAsia="zh-CN" w:bidi="ar-SA"/>
          <w14:ligatures w14:val="none"/>
        </w:rPr>
        <w:t>加强法治工作队伍建设，充实专职法治工作人员力量，开展常态化、专业化培训，积极邀请县依法行政办公室专家和法律顾问等相关人员到我街道进行宣讲《民法典》《国家安全法》《行政处罚法》等相关法律法规讲座和规范依法行政培训；定期开展法律明白人、人民调解员业务培训活动。加大法治政府建设经费投入，保障普法宣传、执法装备升级、法治培训、技术平台建设等工作顺利开展。</w:t>
      </w:r>
    </w:p>
    <w:p>
      <w:pPr>
        <w:pStyle w:val="14"/>
        <w:keepNext w:val="0"/>
        <w:keepLines w:val="0"/>
        <w:pageBreakBefore w:val="0"/>
        <w:widowControl/>
        <w:numPr>
          <w:ilvl w:val="0"/>
          <w:numId w:val="0"/>
        </w:numPr>
        <w:shd w:val="clear" w:color="auto" w:fill="FFFFFF"/>
        <w:kinsoku/>
        <w:wordWrap w:val="0"/>
        <w:overflowPunct/>
        <w:topLinePunct w:val="0"/>
        <w:autoSpaceDE/>
        <w:autoSpaceDN/>
        <w:bidi w:val="0"/>
        <w:adjustRightInd/>
        <w:snapToGrid/>
        <w:spacing w:beforeAutospacing="0" w:afterAutospacing="0" w:line="580" w:lineRule="exact"/>
        <w:ind w:leftChars="200"/>
        <w:textAlignment w:val="auto"/>
        <w:rPr>
          <w:rFonts w:hint="eastAsia" w:ascii="楷体_GB2312" w:hAnsi="楷体_GB2312" w:eastAsia="楷体_GB2312" w:cs="楷体_GB2312"/>
          <w:b w:val="0"/>
          <w:bCs w:val="0"/>
          <w:kern w:val="2"/>
          <w:sz w:val="32"/>
          <w:szCs w:val="32"/>
          <w:lang w:val="en-US" w:eastAsia="zh-CN" w:bidi="ar-SA"/>
          <w14:ligatures w14:val="none"/>
        </w:rPr>
      </w:pPr>
      <w:r>
        <w:rPr>
          <w:rFonts w:hint="eastAsia" w:ascii="楷体_GB2312" w:hAnsi="楷体_GB2312" w:eastAsia="楷体_GB2312" w:cs="楷体_GB2312"/>
          <w:b w:val="0"/>
          <w:bCs w:val="0"/>
          <w:kern w:val="2"/>
          <w:sz w:val="32"/>
          <w:szCs w:val="32"/>
          <w:lang w:val="en-US" w:eastAsia="zh-CN" w:bidi="ar-SA"/>
          <w14:ligatures w14:val="none"/>
        </w:rPr>
        <w:t>（四）优化公共服务，提升法治为民实效</w:t>
      </w:r>
    </w:p>
    <w:p>
      <w:pPr>
        <w:pStyle w:val="14"/>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kern w:val="2"/>
          <w:sz w:val="32"/>
          <w:szCs w:val="32"/>
          <w:lang w:val="en-US" w:eastAsia="zh-CN" w:bidi="ar-SA"/>
          <w14:ligatures w14:val="none"/>
        </w:rPr>
      </w:pPr>
      <w:r>
        <w:rPr>
          <w:rFonts w:hint="eastAsia" w:ascii="仿宋_GB2312" w:hAnsi="仿宋_GB2312" w:eastAsia="仿宋_GB2312" w:cs="仿宋_GB2312"/>
          <w:kern w:val="2"/>
          <w:sz w:val="32"/>
          <w:szCs w:val="32"/>
          <w:lang w:val="en-US" w:eastAsia="zh-CN" w:bidi="ar-SA"/>
          <w14:ligatures w14:val="none"/>
        </w:rPr>
        <w:t>完善矛盾纠纷多元化解机制，加强与司法、公安、律师事务所等单位的协作配合，整合辖区法治资源，形成工作合力，提升矛盾纠纷化解效率和质量。加强网格法治管理，健全网格员考核激励机制，提升网格员法治服务能力。</w:t>
      </w:r>
    </w:p>
    <w:p>
      <w:pPr>
        <w:pStyle w:val="14"/>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kern w:val="2"/>
          <w:sz w:val="32"/>
          <w:szCs w:val="32"/>
          <w:lang w:val="en-US" w:eastAsia="zh-CN" w:bidi="ar-SA"/>
          <w14:ligatures w14:val="none"/>
        </w:rPr>
      </w:pPr>
      <w:r>
        <w:rPr>
          <w:rFonts w:hint="eastAsia" w:ascii="仿宋_GB2312" w:hAnsi="仿宋_GB2312" w:eastAsia="仿宋_GB2312" w:cs="仿宋_GB2312"/>
          <w:kern w:val="2"/>
          <w:sz w:val="32"/>
          <w:szCs w:val="32"/>
          <w:lang w:val="en-US" w:eastAsia="zh-CN" w:bidi="ar-SA"/>
          <w14:ligatures w14:val="none"/>
        </w:rPr>
        <w:t>（赵云鹏+15938923220）</w:t>
      </w:r>
    </w:p>
    <w:p>
      <w:pPr>
        <w:pStyle w:val="14"/>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kern w:val="2"/>
          <w:sz w:val="32"/>
          <w:szCs w:val="32"/>
          <w:lang w:val="en-US" w:eastAsia="zh-CN" w:bidi="ar-SA"/>
          <w14:ligatures w14:val="none"/>
        </w:rPr>
      </w:pPr>
    </w:p>
    <w:p>
      <w:pPr>
        <w:keepNext w:val="0"/>
        <w:keepLines w:val="0"/>
        <w:pageBreakBefore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14:ligatures w14:val="none"/>
        </w:rPr>
      </w:pPr>
      <w:r>
        <w:rPr>
          <w:rFonts w:hint="eastAsia" w:ascii="仿宋_GB2312" w:hAnsi="仿宋_GB2312" w:eastAsia="仿宋_GB2312" w:cs="仿宋_GB2312"/>
          <w:kern w:val="2"/>
          <w:sz w:val="32"/>
          <w:szCs w:val="32"/>
          <w:lang w:val="en-US" w:eastAsia="zh-CN" w:bidi="ar-SA"/>
          <w14:ligatures w14:val="none"/>
        </w:rPr>
        <w:t xml:space="preserve">                           鲁山县露峰街道办事处    </w:t>
      </w:r>
    </w:p>
    <w:p>
      <w:pPr>
        <w:keepNext w:val="0"/>
        <w:keepLines w:val="0"/>
        <w:pageBreakBefore w:val="0"/>
        <w:kinsoku/>
        <w:wordWrap w:val="0"/>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14:ligatures w14:val="none"/>
        </w:rPr>
        <w:t xml:space="preserve">2026年2月    </w:t>
      </w:r>
      <w:r>
        <w:rPr>
          <w:rFonts w:hint="eastAsia" w:ascii="仿宋_GB2312" w:hAnsi="仿宋_GB2312" w:eastAsia="仿宋_GB2312" w:cs="仿宋_GB2312"/>
          <w:sz w:val="32"/>
          <w:szCs w:val="32"/>
        </w:rPr>
        <w:t xml:space="preserve">    </w:t>
      </w:r>
    </w:p>
    <w:sectPr>
      <w:footerReference r:id="rId5" w:type="default"/>
      <w:pgSz w:w="11906" w:h="16838"/>
      <w:pgMar w:top="2098" w:right="1587" w:bottom="1701"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AF305"/>
    <w:multiLevelType w:val="singleLevel"/>
    <w:tmpl w:val="99EAF305"/>
    <w:lvl w:ilvl="0" w:tentative="0">
      <w:start w:val="1"/>
      <w:numFmt w:val="chineseCounting"/>
      <w:suff w:val="nothing"/>
      <w:lvlText w:val="（%1）"/>
      <w:lvlJc w:val="left"/>
      <w:pPr>
        <w:ind w:left="0"/>
      </w:pPr>
      <w:rPr>
        <w:rFonts w:hint="eastAsia"/>
      </w:rPr>
    </w:lvl>
  </w:abstractNum>
  <w:abstractNum w:abstractNumId="1">
    <w:nsid w:val="D206B302"/>
    <w:multiLevelType w:val="singleLevel"/>
    <w:tmpl w:val="D206B30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iMmRlNzBhMWY3MzRkZjM3NjM4ZDgyNjkxM2E1NDcifQ=="/>
  </w:docVars>
  <w:rsids>
    <w:rsidRoot w:val="00A5259F"/>
    <w:rsid w:val="00044E3F"/>
    <w:rsid w:val="00065C2A"/>
    <w:rsid w:val="001C589F"/>
    <w:rsid w:val="003D5498"/>
    <w:rsid w:val="003D5705"/>
    <w:rsid w:val="006C69F3"/>
    <w:rsid w:val="00840767"/>
    <w:rsid w:val="00A5259F"/>
    <w:rsid w:val="00CD2F44"/>
    <w:rsid w:val="00D73DC9"/>
    <w:rsid w:val="00E36279"/>
    <w:rsid w:val="0EC87A33"/>
    <w:rsid w:val="1599765D"/>
    <w:rsid w:val="20DA71AB"/>
    <w:rsid w:val="26DE174A"/>
    <w:rsid w:val="28F65471"/>
    <w:rsid w:val="4B076C12"/>
    <w:rsid w:val="508E5BD7"/>
    <w:rsid w:val="533D7674"/>
    <w:rsid w:val="585316E8"/>
    <w:rsid w:val="642962E3"/>
    <w:rsid w:val="6F816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4"/>
      <w:lang w:val="en-US" w:eastAsia="zh-CN" w:bidi="ar-SA"/>
      <w14:ligatures w14:val="none"/>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0"/>
    <w:pPr>
      <w:tabs>
        <w:tab w:val="center" w:pos="4153"/>
        <w:tab w:val="right" w:pos="8306"/>
      </w:tabs>
      <w:snapToGrid w:val="0"/>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0"/>
    <w:pPr>
      <w:spacing w:beforeAutospacing="1" w:afterAutospacing="1"/>
      <w:jc w:val="left"/>
    </w:pPr>
    <w:rPr>
      <w:rFonts w:asciiTheme="minorHAnsi" w:hAnsiTheme="minorHAnsi" w:eastAsiaTheme="minorEastAsia"/>
      <w:kern w:val="0"/>
      <w:sz w:val="24"/>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Strong"/>
    <w:basedOn w:val="17"/>
    <w:qFormat/>
    <w:uiPriority w:val="0"/>
    <w:rPr>
      <w:b/>
    </w:rPr>
  </w:style>
  <w:style w:type="character" w:customStyle="1" w:styleId="19">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7"/>
    <w:link w:val="5"/>
    <w:semiHidden/>
    <w:qFormat/>
    <w:uiPriority w:val="9"/>
    <w:rPr>
      <w:rFonts w:cstheme="majorBidi"/>
      <w:color w:val="2F5597" w:themeColor="accent1" w:themeShade="BF"/>
      <w:sz w:val="28"/>
      <w:szCs w:val="28"/>
    </w:rPr>
  </w:style>
  <w:style w:type="character" w:customStyle="1" w:styleId="23">
    <w:name w:val="标题 5 字符"/>
    <w:basedOn w:val="17"/>
    <w:link w:val="6"/>
    <w:semiHidden/>
    <w:qFormat/>
    <w:uiPriority w:val="9"/>
    <w:rPr>
      <w:rFonts w:cstheme="majorBidi"/>
      <w:color w:val="2F5597" w:themeColor="accent1" w:themeShade="BF"/>
      <w:sz w:val="24"/>
    </w:rPr>
  </w:style>
  <w:style w:type="character" w:customStyle="1" w:styleId="24">
    <w:name w:val="标题 6 字符"/>
    <w:basedOn w:val="17"/>
    <w:link w:val="7"/>
    <w:semiHidden/>
    <w:qFormat/>
    <w:uiPriority w:val="9"/>
    <w:rPr>
      <w:rFonts w:cstheme="majorBidi"/>
      <w:b/>
      <w:bCs/>
      <w:color w:val="2F5597"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qFormat/>
    <w:uiPriority w:val="30"/>
    <w:rPr>
      <w:i/>
      <w:iCs/>
      <w:color w:val="2F5597" w:themeColor="accent1" w:themeShade="BF"/>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3824</Words>
  <Characters>3881</Characters>
  <Lines>228</Lines>
  <Paragraphs>186</Paragraphs>
  <TotalTime>2</TotalTime>
  <ScaleCrop>false</ScaleCrop>
  <LinksUpToDate>false</LinksUpToDate>
  <CharactersWithSpaces>3924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2026-01-29T11:39:00Z</dcterms:created>
  <dc:creator>德苗 朱</dc:creator>
  <cp:lastModifiedBy>陈哇塞</cp:lastModifiedBy>
  <cp:lastPrinted>2026-02-02T02:32:00Z</cp:lastPrinted>
  <dcterms:modified xsi:type="dcterms:W3CDTF">2026-02-04T07:10:44Z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eyJoZGlkIjoiMTkwN2UzNjI3Zjc2ZGY0ZWE1ZmQ3MTJiYTdiZTBjYjEiLCJ1c2VySWQiOiIxNDIyOTg5NzA0In0=</vt:lpwstr>
  </property>
  <property fmtid="{D5CDD505-2E9C-101B-9397-08002B2CF9AE}" pid="3" name="KSOProductBuildVer">
    <vt:lpwstr>2052-11.1.0.14309</vt:lpwstr>
  </property>
  <property fmtid="{D5CDD505-2E9C-101B-9397-08002B2CF9AE}" pid="4" name="ICV">
    <vt:lpwstr>2578CC5014BE4995B8AFC4337692919C_12</vt:lpwstr>
  </property>
</Properties>
</file>